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bookmarkStart w:id="0" w:name="_GoBack"/>
      <w:bookmarkEnd w:id="0"/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92D00CD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1E8474A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8FAD0CC" w:rsidR="00A91910" w:rsidRPr="00904D37" w:rsidRDefault="00A91910" w:rsidP="008D1F03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2928F97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1AD3DB15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1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1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4C88784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2A7B898C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60589174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17BA9DCB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54872255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</w:t>
      </w:r>
      <w:r w:rsidR="00EE189F">
        <w:rPr>
          <w:rFonts w:ascii="Times New Roman" w:hAnsi="Times New Roman"/>
        </w:rPr>
        <w:t>O</w:t>
      </w:r>
      <w:r w:rsidRPr="003B1B29">
        <w:rPr>
          <w:rFonts w:ascii="Times New Roman" w:hAnsi="Times New Roman"/>
        </w:rPr>
        <w:t>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5D634FDB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</w:t>
      </w:r>
      <w:commentRangeStart w:id="2"/>
      <w:r w:rsidR="00A91910" w:rsidRPr="003726AF">
        <w:rPr>
          <w:rFonts w:ascii="Times New Roman" w:hAnsi="Times New Roman"/>
          <w:bCs/>
        </w:rPr>
        <w:t>sú úročené</w:t>
      </w:r>
      <w:commentRangeEnd w:id="2"/>
      <w:r w:rsidR="005C5BA6">
        <w:rPr>
          <w:rStyle w:val="Odkaznakomentr"/>
          <w:rFonts w:ascii="Times New Roman" w:eastAsia="Times New Roman" w:hAnsi="Times New Roman"/>
          <w:lang w:val="x-none" w:eastAsia="x-none"/>
        </w:rPr>
        <w:commentReference w:id="2"/>
      </w:r>
      <w:r w:rsidR="00A91910" w:rsidRPr="003726AF">
        <w:rPr>
          <w:rFonts w:ascii="Times New Roman" w:hAnsi="Times New Roman"/>
          <w:bCs/>
        </w:rPr>
        <w:t xml:space="preserve">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53D2A94E" w:rsidR="00A91910" w:rsidRPr="003726AF" w:rsidRDefault="00A91910" w:rsidP="0075449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754499">
        <w:rPr>
          <w:rFonts w:ascii="Times New Roman" w:hAnsi="Times New Roman"/>
          <w:bCs/>
        </w:rPr>
        <w:t xml:space="preserve">, </w:t>
      </w:r>
      <w:r w:rsidR="00754499" w:rsidRPr="00754499">
        <w:rPr>
          <w:rFonts w:ascii="Times New Roman" w:hAnsi="Times New Roman"/>
          <w:bCs/>
        </w:rPr>
        <w:t xml:space="preserve">okrem prípadov, ak vlastné zdroje Prijímateľa sú </w:t>
      </w:r>
      <w:r w:rsidR="00754499">
        <w:rPr>
          <w:rFonts w:ascii="Times New Roman" w:hAnsi="Times New Roman"/>
          <w:bCs/>
        </w:rPr>
        <w:t>zabezpečované Vecným príspevkom.</w:t>
      </w:r>
    </w:p>
    <w:p w14:paraId="201BC50B" w14:textId="2937B06A" w:rsidR="00781591" w:rsidRPr="00F32560" w:rsidRDefault="00A91910" w:rsidP="008D1F0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43248F66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žiadateľa, resp. Príručke pre Prijímateľa.</w:t>
      </w:r>
    </w:p>
    <w:p w14:paraId="44B27422" w14:textId="7E3BF09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53B5EE33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14840465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</w:t>
      </w:r>
      <w:r w:rsidR="00885615">
        <w:rPr>
          <w:sz w:val="22"/>
          <w:szCs w:val="22"/>
        </w:rPr>
        <w:t xml:space="preserve"> </w:t>
      </w:r>
      <w:r w:rsidR="00002ECC">
        <w:rPr>
          <w:sz w:val="22"/>
          <w:szCs w:val="22"/>
        </w:rPr>
        <w:t>/</w:t>
      </w:r>
      <w:r w:rsidR="00885615">
        <w:rPr>
          <w:sz w:val="22"/>
          <w:szCs w:val="22"/>
        </w:rPr>
        <w:t xml:space="preserve"> </w:t>
      </w:r>
      <w:r w:rsidR="00002ECC">
        <w:rPr>
          <w:sz w:val="22"/>
          <w:szCs w:val="22"/>
        </w:rPr>
        <w:t>časti účtovných dokladov</w:t>
      </w:r>
      <w:r w:rsidRPr="003B1B29">
        <w:rPr>
          <w:sz w:val="22"/>
          <w:szCs w:val="22"/>
        </w:rPr>
        <w:t xml:space="preserve">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="00885615">
        <w:rPr>
          <w:sz w:val="22"/>
          <w:szCs w:val="22"/>
        </w:rPr>
        <w:t xml:space="preserve">, pričom vlastné zdroje Prijímateľa môžu byť uhradené Dodávateľovi </w:t>
      </w:r>
      <w:r w:rsidR="0098020C">
        <w:rPr>
          <w:sz w:val="22"/>
          <w:szCs w:val="22"/>
        </w:rPr>
        <w:t xml:space="preserve">Projektu </w:t>
      </w:r>
      <w:r w:rsidR="00885615">
        <w:rPr>
          <w:sz w:val="22"/>
          <w:szCs w:val="22"/>
        </w:rPr>
        <w:t xml:space="preserve">aj pred pripísaním finančných prostriedkov na účte Prijímateľa za poskytnuté </w:t>
      </w:r>
      <w:proofErr w:type="spellStart"/>
      <w:r w:rsidR="00885615">
        <w:rPr>
          <w:sz w:val="22"/>
          <w:szCs w:val="22"/>
        </w:rPr>
        <w:t>predfinancovanie</w:t>
      </w:r>
      <w:proofErr w:type="spellEnd"/>
      <w:r w:rsidR="00556722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3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3"/>
      <w:r w:rsidR="00510D6A">
        <w:rPr>
          <w:rStyle w:val="Odkaznakomentr"/>
          <w:rFonts w:eastAsia="Times New Roman"/>
          <w:lang w:val="x-none" w:eastAsia="x-none"/>
        </w:rPr>
        <w:commentReference w:id="3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5265B4A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56A3A0D" w14:textId="27DC3F46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</w:t>
      </w:r>
      <w:r w:rsidR="00556722">
        <w:rPr>
          <w:sz w:val="22"/>
          <w:szCs w:val="22"/>
        </w:rPr>
        <w:t xml:space="preserve"> </w:t>
      </w:r>
      <w:r w:rsidR="00002ECC">
        <w:rPr>
          <w:sz w:val="22"/>
          <w:szCs w:val="22"/>
        </w:rPr>
        <w:t>/</w:t>
      </w:r>
      <w:r w:rsidR="00556722">
        <w:rPr>
          <w:sz w:val="22"/>
          <w:szCs w:val="22"/>
        </w:rPr>
        <w:t xml:space="preserve"> </w:t>
      </w:r>
      <w:r w:rsidR="00002ECC">
        <w:rPr>
          <w:sz w:val="22"/>
          <w:szCs w:val="22"/>
        </w:rPr>
        <w:t>časti účtovných dokladov</w:t>
      </w:r>
      <w:r w:rsidRPr="003B1B29">
        <w:rPr>
          <w:sz w:val="22"/>
          <w:szCs w:val="22"/>
        </w:rPr>
        <w:t xml:space="preserve">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3A5DED">
        <w:rPr>
          <w:sz w:val="22"/>
          <w:szCs w:val="22"/>
        </w:rPr>
        <w:t>, resp. ich kópia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3A5DED">
        <w:rPr>
          <w:sz w:val="22"/>
          <w:szCs w:val="22"/>
        </w:rPr>
        <w:t>, resp. jej kópiu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4D82620E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BA5D0E">
        <w:rPr>
          <w:sz w:val="22"/>
          <w:szCs w:val="22"/>
        </w:rPr>
        <w:t>5</w:t>
      </w:r>
      <w:r w:rsidR="00481DCF" w:rsidRPr="00FD086A">
        <w:rPr>
          <w:sz w:val="22"/>
          <w:szCs w:val="22"/>
        </w:rPr>
        <w:t xml:space="preserve"> </w:t>
      </w:r>
      <w:r w:rsidR="00BA5D0E">
        <w:rPr>
          <w:sz w:val="22"/>
          <w:szCs w:val="22"/>
        </w:rPr>
        <w:t xml:space="preserve">pracovných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6D926822" w:rsidR="00A91910" w:rsidRPr="00A91910" w:rsidRDefault="00A91910" w:rsidP="008D1F0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1DF87F4A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754499">
        <w:rPr>
          <w:sz w:val="22"/>
          <w:szCs w:val="22"/>
        </w:rPr>
        <w:t>výpis</w:t>
      </w:r>
      <w:r w:rsidR="00CA5519" w:rsidRPr="00754499">
        <w:rPr>
          <w:sz w:val="22"/>
          <w:szCs w:val="22"/>
        </w:rPr>
        <w:t>om</w:t>
      </w:r>
      <w:r w:rsidRPr="00754499">
        <w:rPr>
          <w:sz w:val="22"/>
        </w:rPr>
        <w:t xml:space="preserve"> z účtu alebo </w:t>
      </w:r>
      <w:r w:rsidRPr="00754499">
        <w:rPr>
          <w:sz w:val="22"/>
          <w:szCs w:val="22"/>
        </w:rPr>
        <w:t>prehlásen</w:t>
      </w:r>
      <w:r w:rsidR="00CA5519" w:rsidRPr="00754499">
        <w:rPr>
          <w:sz w:val="22"/>
          <w:szCs w:val="22"/>
        </w:rPr>
        <w:t>ím</w:t>
      </w:r>
      <w:r w:rsidRPr="00754499">
        <w:rPr>
          <w:sz w:val="22"/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Pr="00754499">
        <w:rPr>
          <w:sz w:val="22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najneskôr do </w:t>
      </w:r>
      <w:r w:rsidR="00002ECC">
        <w:rPr>
          <w:sz w:val="22"/>
          <w:szCs w:val="22"/>
        </w:rPr>
        <w:t>10</w:t>
      </w:r>
      <w:r w:rsidR="00002ECC" w:rsidRPr="003B1B29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>dní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1176881F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8D1F03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 xml:space="preserve">finančnej </w:t>
      </w:r>
      <w:r w:rsidRPr="00A1088D">
        <w:rPr>
          <w:sz w:val="22"/>
          <w:szCs w:val="22"/>
        </w:rPr>
        <w:t>kontrole a audite a článku</w:t>
      </w:r>
      <w:r w:rsidRPr="00C65054">
        <w:rPr>
          <w:sz w:val="22"/>
          <w:szCs w:val="22"/>
        </w:rPr>
        <w:t xml:space="preserve">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62FBF23C" w:rsidR="00A91910" w:rsidRPr="001E030D" w:rsidRDefault="00A91910" w:rsidP="00510D6A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Pr="00754499">
        <w:rPr>
          <w:sz w:val="22"/>
        </w:rPr>
        <w:t>schváli v plnej výške</w:t>
      </w:r>
      <w:r w:rsidRPr="00C10D57">
        <w:rPr>
          <w:sz w:val="22"/>
          <w:szCs w:val="22"/>
        </w:rPr>
        <w:t xml:space="preserve">, </w:t>
      </w:r>
      <w:r w:rsidRPr="00754499">
        <w:rPr>
          <w:sz w:val="22"/>
        </w:rPr>
        <w:t>schváli v zníženej výške</w:t>
      </w:r>
      <w:r w:rsidR="00B0411F" w:rsidRPr="00C10D57">
        <w:rPr>
          <w:sz w:val="22"/>
          <w:szCs w:val="22"/>
        </w:rPr>
        <w:t xml:space="preserve">, </w:t>
      </w:r>
      <w:r w:rsidR="00B0411F" w:rsidRPr="00754499">
        <w:rPr>
          <w:sz w:val="22"/>
        </w:rPr>
        <w:t>zamietne</w:t>
      </w:r>
      <w:r w:rsidR="002857DB">
        <w:rPr>
          <w:sz w:val="22"/>
          <w:szCs w:val="22"/>
        </w:rPr>
        <w:t xml:space="preserve"> alebo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>pozastaví</w:t>
      </w:r>
      <w:r w:rsidR="002857DB">
        <w:rPr>
          <w:sz w:val="22"/>
          <w:szCs w:val="22"/>
        </w:rPr>
        <w:t>, pričom</w:t>
      </w:r>
      <w:r w:rsidRPr="001E030D">
        <w:rPr>
          <w:sz w:val="22"/>
          <w:szCs w:val="22"/>
        </w:rPr>
        <w:t xml:space="preserve">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2857DB">
        <w:rPr>
          <w:sz w:val="22"/>
          <w:szCs w:val="22"/>
        </w:rPr>
        <w:t xml:space="preserve">môže časť nárokovaných výdavkov, u ktorých je potrebné pokračovať v kontrole, </w:t>
      </w:r>
      <w:r w:rsidR="00B0411F" w:rsidRPr="00754499">
        <w:rPr>
          <w:sz w:val="22"/>
        </w:rPr>
        <w:t>vyčlen</w:t>
      </w:r>
      <w:r w:rsidR="002857DB">
        <w:rPr>
          <w:sz w:val="22"/>
        </w:rPr>
        <w:t xml:space="preserve">iť, a to v lehotách určených Systémom finančného riadenia, resp. vo Výnimke zo Systému finančného riadenia štrukturálnych fondov, Kohézneho fondu a Európskeho námorného a rybárskeho fondu na programové obdobie 2014-2020 zo </w:t>
      </w:r>
      <w:commentRangeStart w:id="4"/>
      <w:r w:rsidR="002857DB">
        <w:rPr>
          <w:sz w:val="22"/>
        </w:rPr>
        <w:t>dňa</w:t>
      </w:r>
      <w:commentRangeEnd w:id="4"/>
      <w:r w:rsidR="002857DB">
        <w:rPr>
          <w:rStyle w:val="Odkaznakomentr"/>
          <w:rFonts w:eastAsia="Times New Roman"/>
          <w:lang w:val="x-none" w:eastAsia="x-none"/>
        </w:rPr>
        <w:commentReference w:id="4"/>
      </w:r>
      <w:r w:rsidR="002857DB">
        <w:rPr>
          <w:sz w:val="22"/>
        </w:rPr>
        <w:t xml:space="preserve"> ...</w:t>
      </w:r>
      <w:r w:rsidR="00B0411F" w:rsidRPr="00754499">
        <w:rPr>
          <w:sz w:val="22"/>
        </w:rPr>
        <w:t xml:space="preserve"> </w:t>
      </w:r>
      <w:r w:rsidRPr="001E030D">
        <w:rPr>
          <w:sz w:val="22"/>
          <w:szCs w:val="22"/>
        </w:rPr>
        <w:t xml:space="preserve">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</w:t>
      </w:r>
      <w:r w:rsidRPr="001E030D">
        <w:rPr>
          <w:sz w:val="22"/>
          <w:szCs w:val="22"/>
        </w:rPr>
        <w:lastRenderedPageBreak/>
        <w:t xml:space="preserve">v rozsahu Schválených oprávnených výdavkov zo strany Poskytovateľa a Certifikačného orgánu. </w:t>
      </w:r>
    </w:p>
    <w:p w14:paraId="1449B22D" w14:textId="77777777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0884FA54" w:rsidR="000D1AD5" w:rsidRDefault="004E0031" w:rsidP="00533AAF">
      <w:pPr>
        <w:pStyle w:val="Odsekzoznamu"/>
        <w:numPr>
          <w:ilvl w:val="0"/>
          <w:numId w:val="5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>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1521C8BF" w14:textId="77777777" w:rsidR="00123681" w:rsidRDefault="00123681" w:rsidP="00533AAF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831B78C" w14:textId="16A6321D" w:rsidR="009C2F7D" w:rsidRPr="00A1088D" w:rsidRDefault="000D1AD5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C10D57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</w:t>
      </w:r>
      <w:r w:rsidR="00D42F52">
        <w:rPr>
          <w:sz w:val="22"/>
          <w:szCs w:val="22"/>
        </w:rPr>
        <w:t xml:space="preserve"> Prebiehajúceho</w:t>
      </w:r>
      <w:r w:rsidRPr="008D1F03">
        <w:rPr>
          <w:sz w:val="22"/>
          <w:szCs w:val="22"/>
        </w:rPr>
        <w:t xml:space="preserve"> skúmania</w:t>
      </w:r>
      <w:r w:rsidR="008D1F03">
        <w:rPr>
          <w:sz w:val="22"/>
          <w:szCs w:val="22"/>
        </w:rPr>
        <w:t xml:space="preserve">. Ak sú výdavky, ktorých sa týka </w:t>
      </w:r>
      <w:r w:rsidR="008D1F03" w:rsidRPr="00A1088D">
        <w:rPr>
          <w:sz w:val="22"/>
          <w:szCs w:val="22"/>
        </w:rPr>
        <w:t xml:space="preserve">Prebiehajúce skúmanie zahrnuté do Žiadosti o platbu (zúčtovanie </w:t>
      </w:r>
      <w:proofErr w:type="spellStart"/>
      <w:r w:rsidR="008D1F03" w:rsidRPr="00A1088D">
        <w:rPr>
          <w:sz w:val="22"/>
          <w:szCs w:val="22"/>
        </w:rPr>
        <w:t>predfinancovania</w:t>
      </w:r>
      <w:proofErr w:type="spellEnd"/>
      <w:r w:rsidR="008D1F03" w:rsidRPr="00A1088D">
        <w:rPr>
          <w:sz w:val="22"/>
          <w:szCs w:val="22"/>
        </w:rPr>
        <w:t>)</w:t>
      </w:r>
      <w:r w:rsidR="009C2F7D" w:rsidRPr="00A1088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</w:t>
      </w:r>
      <w:r w:rsidR="008F2D1E">
        <w:rPr>
          <w:sz w:val="22"/>
          <w:szCs w:val="22"/>
        </w:rPr>
        <w:t xml:space="preserve">Prebiehajúceho </w:t>
      </w:r>
      <w:r w:rsidR="009C2F7D" w:rsidRPr="00A1088D">
        <w:rPr>
          <w:sz w:val="22"/>
          <w:szCs w:val="22"/>
        </w:rPr>
        <w:t xml:space="preserve">skúmania.  </w:t>
      </w:r>
    </w:p>
    <w:p w14:paraId="79FBC174" w14:textId="77777777" w:rsidR="009C2F7D" w:rsidRDefault="009C2F7D" w:rsidP="009C2F7D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3DC9E3DB" w:rsidR="00A91910" w:rsidRPr="00A91910" w:rsidRDefault="00A91910" w:rsidP="00D72FF2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1A3A470A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</w:t>
      </w:r>
      <w:r w:rsidR="00605CE8">
        <w:rPr>
          <w:sz w:val="22"/>
          <w:szCs w:val="22"/>
        </w:rPr>
        <w:t xml:space="preserve">stanovenej vo Výnimke. V zmysle uvedenej Výnimky sa maximálna výška zálohovej platby vypočíta ako </w:t>
      </w:r>
      <w:commentRangeStart w:id="5"/>
      <w:r w:rsidR="00605CE8">
        <w:rPr>
          <w:sz w:val="22"/>
          <w:szCs w:val="22"/>
        </w:rPr>
        <w:t>....%</w:t>
      </w:r>
      <w:commentRangeEnd w:id="5"/>
      <w:r w:rsidR="00EE08E6">
        <w:rPr>
          <w:rStyle w:val="Odkaznakomentr"/>
          <w:rFonts w:eastAsia="Times New Roman"/>
          <w:lang w:val="x-none" w:eastAsia="x-none"/>
        </w:rPr>
        <w:commentReference w:id="5"/>
      </w:r>
      <w:r w:rsidR="00605CE8">
        <w:rPr>
          <w:sz w:val="22"/>
          <w:szCs w:val="22"/>
        </w:rPr>
        <w:t xml:space="preserve"> z celkového NFP zníženého o už poskytnutú časť NFP systémom refundácie. Pri výpočte sa nezohľadňuje počet mesiacov realizácie projektu.</w:t>
      </w:r>
      <w:r w:rsidRPr="00A91910">
        <w:rPr>
          <w:sz w:val="22"/>
          <w:szCs w:val="22"/>
        </w:rPr>
        <w:t xml:space="preserve"> </w:t>
      </w:r>
    </w:p>
    <w:p w14:paraId="268B782A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00BD3741" w:rsidR="00A56561" w:rsidRPr="00802C1A" w:rsidRDefault="00A56561" w:rsidP="00A56561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12E6E589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23963739" w:rsidR="00A91910" w:rsidRPr="00A91910" w:rsidRDefault="006E1526" w:rsidP="009C2F7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>poskytnutú zálohovú platbu priebežne zúčtovávať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 xml:space="preserve">ajneskôr do </w:t>
      </w:r>
      <w:r w:rsidR="00ED5BAA">
        <w:rPr>
          <w:sz w:val="22"/>
          <w:szCs w:val="22"/>
        </w:rPr>
        <w:t>12</w:t>
      </w:r>
      <w:r w:rsidR="00A91910" w:rsidRPr="00A91910">
        <w:rPr>
          <w:sz w:val="22"/>
          <w:szCs w:val="22"/>
        </w:rPr>
        <w:t xml:space="preserve">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09A3DB6C" w:rsidR="00A91910" w:rsidRPr="00904D37" w:rsidRDefault="00CF2EE6" w:rsidP="009C2F7D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9C2F7D">
        <w:rPr>
          <w:sz w:val="22"/>
        </w:rPr>
        <w:t>Poskytovateľ</w:t>
      </w:r>
      <w:r w:rsidR="00A91910" w:rsidRPr="009C2F7D">
        <w:rPr>
          <w:sz w:val="22"/>
        </w:rPr>
        <w:t>.</w:t>
      </w:r>
    </w:p>
    <w:p w14:paraId="3D12F3C1" w14:textId="2D29600D" w:rsidR="00A91910" w:rsidRPr="00904D37" w:rsidRDefault="00A91910" w:rsidP="009C2F7D">
      <w:pPr>
        <w:pStyle w:val="Odsekzoznamu1"/>
        <w:spacing w:after="120" w:line="276" w:lineRule="auto"/>
        <w:jc w:val="both"/>
      </w:pPr>
    </w:p>
    <w:p w14:paraId="1B1E0CA8" w14:textId="54D14D1D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</w:t>
      </w:r>
      <w:r w:rsidR="00C8086E">
        <w:rPr>
          <w:sz w:val="22"/>
          <w:szCs w:val="22"/>
        </w:rPr>
        <w:t>12</w:t>
      </w:r>
      <w:r w:rsidR="00E34019">
        <w:rPr>
          <w:sz w:val="22"/>
          <w:szCs w:val="22"/>
        </w:rPr>
        <w:t xml:space="preserve"> mesiacov odo dňa pripísania finančných prostriedkov na účte Prijímateľa </w:t>
      </w:r>
      <w:r w:rsidRPr="00A91910">
        <w:rPr>
          <w:sz w:val="22"/>
          <w:szCs w:val="22"/>
        </w:rPr>
        <w:t xml:space="preserve">sa </w:t>
      </w:r>
      <w:r w:rsidRPr="00A91910">
        <w:rPr>
          <w:sz w:val="22"/>
          <w:szCs w:val="22"/>
        </w:rPr>
        <w:lastRenderedPageBreak/>
        <w:t xml:space="preserve">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04EF34E5" w14:textId="7740576A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</w:t>
      </w:r>
      <w:r w:rsidR="00C8086E">
        <w:rPr>
          <w:sz w:val="22"/>
          <w:szCs w:val="22"/>
        </w:rPr>
        <w:t>, ak nie je dohodnuté inak</w:t>
      </w:r>
      <w:r w:rsidRPr="00A91910">
        <w:rPr>
          <w:sz w:val="22"/>
          <w:szCs w:val="22"/>
        </w:rPr>
        <w:t>.</w:t>
      </w:r>
    </w:p>
    <w:p w14:paraId="67CCDBA1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3912904C" w14:textId="2EB99A08" w:rsidR="00A91910" w:rsidRDefault="00A91910" w:rsidP="00D72FF2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</w:t>
      </w:r>
      <w:commentRangeStart w:id="6"/>
      <w:r w:rsidR="00AA703F">
        <w:rPr>
          <w:sz w:val="22"/>
          <w:szCs w:val="22"/>
        </w:rPr>
        <w:t xml:space="preserve">....% </w:t>
      </w:r>
      <w:commentRangeEnd w:id="6"/>
      <w:r w:rsidR="00AA703F">
        <w:rPr>
          <w:rStyle w:val="Odkaznakomentr"/>
          <w:rFonts w:eastAsia="Times New Roman"/>
          <w:lang w:val="x-none" w:eastAsia="x-none"/>
        </w:rPr>
        <w:commentReference w:id="6"/>
      </w:r>
      <w:r w:rsidR="00AA703F">
        <w:rPr>
          <w:sz w:val="22"/>
          <w:szCs w:val="22"/>
        </w:rPr>
        <w:t>z celkového NFP</w:t>
      </w:r>
      <w:r w:rsidR="00447039">
        <w:rPr>
          <w:sz w:val="22"/>
          <w:szCs w:val="22"/>
        </w:rPr>
        <w:t>.</w:t>
      </w:r>
    </w:p>
    <w:p w14:paraId="1836812A" w14:textId="77777777" w:rsidR="007B6D4E" w:rsidRDefault="007B6D4E" w:rsidP="009C2F7D">
      <w:pPr>
        <w:pStyle w:val="Odsekzoznamu"/>
        <w:rPr>
          <w:sz w:val="22"/>
          <w:szCs w:val="22"/>
        </w:rPr>
      </w:pPr>
    </w:p>
    <w:p w14:paraId="7E05DBA8" w14:textId="35F86788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</w:t>
      </w:r>
      <w:r w:rsidR="00D14060">
        <w:rPr>
          <w:sz w:val="22"/>
          <w:szCs w:val="22"/>
        </w:rPr>
        <w:t>12</w:t>
      </w:r>
      <w:r>
        <w:rPr>
          <w:sz w:val="22"/>
          <w:szCs w:val="22"/>
        </w:rPr>
        <w:t>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</w:t>
      </w:r>
      <w:r w:rsidR="00D14060">
        <w:rPr>
          <w:sz w:val="22"/>
          <w:szCs w:val="22"/>
        </w:rPr>
        <w:t>12</w:t>
      </w:r>
      <w:r>
        <w:rPr>
          <w:sz w:val="22"/>
          <w:szCs w:val="22"/>
        </w:rPr>
        <w:t xml:space="preserve">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2352A8F0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 xml:space="preserve">Ak Prijímateľ nezúčtuje 100 % poskytnutej zálohovej platby do </w:t>
      </w:r>
      <w:r w:rsidR="00D14060">
        <w:rPr>
          <w:sz w:val="22"/>
          <w:szCs w:val="22"/>
        </w:rPr>
        <w:t>12</w:t>
      </w:r>
      <w:r w:rsidRPr="00FC4D98">
        <w:rPr>
          <w:sz w:val="22"/>
          <w:szCs w:val="22"/>
        </w:rPr>
        <w:t xml:space="preserve">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</w:t>
      </w:r>
      <w:r w:rsidR="00002ECC">
        <w:rPr>
          <w:sz w:val="22"/>
          <w:szCs w:val="22"/>
        </w:rPr>
        <w:t>10</w:t>
      </w:r>
      <w:r w:rsidRPr="00FC4D98">
        <w:rPr>
          <w:sz w:val="22"/>
          <w:szCs w:val="22"/>
        </w:rPr>
        <w:t xml:space="preserve"> dní po uplynutí </w:t>
      </w:r>
      <w:r w:rsidR="00D14060">
        <w:rPr>
          <w:sz w:val="22"/>
          <w:szCs w:val="22"/>
        </w:rPr>
        <w:t>12</w:t>
      </w:r>
      <w:r>
        <w:rPr>
          <w:sz w:val="22"/>
          <w:szCs w:val="22"/>
        </w:rPr>
        <w:t xml:space="preserve">-mesačnej </w:t>
      </w:r>
      <w:r w:rsidRPr="00FC4D98">
        <w:rPr>
          <w:sz w:val="22"/>
          <w:szCs w:val="22"/>
        </w:rPr>
        <w:t xml:space="preserve">lehoty vrátiť sumu nezúčtovaného rozdielu na účet určený Poskytovateľom. </w:t>
      </w:r>
    </w:p>
    <w:p w14:paraId="489FF5F1" w14:textId="77777777" w:rsidR="007B6D4E" w:rsidRDefault="007B6D4E" w:rsidP="009C2F7D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1D26D5A2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754499">
        <w:rPr>
          <w:sz w:val="22"/>
          <w:szCs w:val="22"/>
        </w:rPr>
        <w:t xml:space="preserve">až po uplynutí </w:t>
      </w:r>
      <w:r w:rsidR="00D14060">
        <w:rPr>
          <w:sz w:val="22"/>
          <w:szCs w:val="22"/>
        </w:rPr>
        <w:t>12</w:t>
      </w:r>
      <w:r w:rsidRPr="00754499">
        <w:rPr>
          <w:sz w:val="22"/>
          <w:szCs w:val="22"/>
        </w:rPr>
        <w:t>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</w:t>
      </w:r>
    </w:p>
    <w:p w14:paraId="26D47F5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 xml:space="preserve">finančnej kontrole </w:t>
      </w:r>
      <w:r w:rsidRPr="00A1088D">
        <w:rPr>
          <w:sz w:val="22"/>
          <w:szCs w:val="22"/>
        </w:rPr>
        <w:t>a 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 xml:space="preserve">ákona o finančnej kontrole </w:t>
      </w:r>
      <w:r w:rsidRPr="00A1088D">
        <w:rPr>
          <w:sz w:val="22"/>
          <w:szCs w:val="22"/>
        </w:rPr>
        <w:t>a</w:t>
      </w:r>
      <w:r w:rsidR="00E67ED2" w:rsidRPr="00A1088D">
        <w:rPr>
          <w:sz w:val="22"/>
          <w:szCs w:val="22"/>
        </w:rPr>
        <w:t> </w:t>
      </w:r>
      <w:r w:rsidRPr="00A1088D"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4FEDD4B0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754499">
        <w:rPr>
          <w:sz w:val="22"/>
        </w:rPr>
        <w:t>schváli v plnej výške, schváli v zníženej výške</w:t>
      </w:r>
      <w:r w:rsidR="00BF0C28" w:rsidRPr="00754499">
        <w:rPr>
          <w:sz w:val="22"/>
        </w:rPr>
        <w:t>, zamietne</w:t>
      </w:r>
      <w:r w:rsidR="00183216">
        <w:rPr>
          <w:sz w:val="22"/>
          <w:szCs w:val="22"/>
        </w:rPr>
        <w:t xml:space="preserve"> alebo</w:t>
      </w:r>
      <w:r w:rsidR="0056773A" w:rsidRPr="00754499">
        <w:rPr>
          <w:sz w:val="22"/>
          <w:szCs w:val="22"/>
        </w:rPr>
        <w:t xml:space="preserve"> pozastaví</w:t>
      </w:r>
      <w:r w:rsidR="00183216">
        <w:rPr>
          <w:sz w:val="22"/>
          <w:szCs w:val="22"/>
        </w:rPr>
        <w:t xml:space="preserve">, pričom </w:t>
      </w:r>
      <w:r w:rsidR="00DF6B24">
        <w:rPr>
          <w:sz w:val="22"/>
          <w:szCs w:val="22"/>
        </w:rPr>
        <w:t>zo Žiadosti o platbu (zúčtovanie zálohovej platby)</w:t>
      </w:r>
      <w:r w:rsidRPr="00A91910">
        <w:rPr>
          <w:sz w:val="22"/>
          <w:szCs w:val="22"/>
        </w:rPr>
        <w:t xml:space="preserve"> </w:t>
      </w:r>
      <w:r w:rsidR="00183216">
        <w:rPr>
          <w:sz w:val="22"/>
          <w:szCs w:val="22"/>
        </w:rPr>
        <w:t xml:space="preserve">môže časť nárokovaných výdavkov, u ktorých je potrebné pokračovať v kontrole, </w:t>
      </w:r>
      <w:r w:rsidR="00BF0C28" w:rsidRPr="00754499">
        <w:rPr>
          <w:sz w:val="22"/>
        </w:rPr>
        <w:t>vyčlen</w:t>
      </w:r>
      <w:r w:rsidR="00183216">
        <w:rPr>
          <w:sz w:val="22"/>
        </w:rPr>
        <w:t>iť, a to v lehotách určených Systémom finančného riadenia, resp. vo Výnimke.</w:t>
      </w:r>
      <w:r w:rsidRPr="00A91910">
        <w:rPr>
          <w:sz w:val="22"/>
          <w:szCs w:val="22"/>
        </w:rPr>
        <w:t xml:space="preserve">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9C2F7D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7A33111B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2215F976" w:rsidR="009C2F7D" w:rsidRDefault="009C2F7D" w:rsidP="00E206A6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1088D">
        <w:rPr>
          <w:sz w:val="22"/>
          <w:szCs w:val="22"/>
        </w:rPr>
        <w:t>Ak Žiadosť o platbu (</w:t>
      </w:r>
      <w:r w:rsidR="00E206A6" w:rsidRPr="00A1088D">
        <w:rPr>
          <w:sz w:val="22"/>
          <w:szCs w:val="22"/>
        </w:rPr>
        <w:t>zúčtovanie zálohovej platby</w:t>
      </w:r>
      <w:r w:rsidRPr="00A1088D">
        <w:rPr>
          <w:sz w:val="22"/>
          <w:szCs w:val="22"/>
        </w:rPr>
        <w:t>) obsahuje výdavky, ktoré sú predmetom Prebiehajúceho skúmania, Poskytovateľ pozastav</w:t>
      </w:r>
      <w:r w:rsidR="00E206A6" w:rsidRPr="00A1088D">
        <w:rPr>
          <w:sz w:val="22"/>
          <w:szCs w:val="22"/>
        </w:rPr>
        <w:t>í</w:t>
      </w:r>
      <w:r w:rsidRPr="00A1088D">
        <w:rPr>
          <w:sz w:val="22"/>
          <w:szCs w:val="22"/>
        </w:rPr>
        <w:t xml:space="preserve"> schvaľovanie </w:t>
      </w:r>
      <w:r w:rsidR="00E206A6" w:rsidRPr="00A1088D">
        <w:rPr>
          <w:sz w:val="22"/>
          <w:szCs w:val="22"/>
        </w:rPr>
        <w:t>dotknutých</w:t>
      </w:r>
      <w:r w:rsidRPr="00A1088D">
        <w:rPr>
          <w:sz w:val="22"/>
          <w:szCs w:val="22"/>
        </w:rPr>
        <w:t xml:space="preserve"> výdavkov až do času ukončenia</w:t>
      </w:r>
      <w:r w:rsidR="00836F20">
        <w:rPr>
          <w:sz w:val="22"/>
          <w:szCs w:val="22"/>
        </w:rPr>
        <w:t xml:space="preserve"> Prebiehajúceho</w:t>
      </w:r>
      <w:r w:rsidRPr="00A1088D">
        <w:rPr>
          <w:sz w:val="22"/>
          <w:szCs w:val="22"/>
        </w:rPr>
        <w:t xml:space="preserve"> skúmania</w:t>
      </w:r>
      <w:r>
        <w:rPr>
          <w:sz w:val="22"/>
          <w:szCs w:val="22"/>
        </w:rPr>
        <w:t xml:space="preserve">. </w:t>
      </w:r>
    </w:p>
    <w:p w14:paraId="3DF577EA" w14:textId="77777777" w:rsidR="00DF1B47" w:rsidRDefault="00DF1B47" w:rsidP="00533AAF">
      <w:pPr>
        <w:pStyle w:val="Odsekzoznamu"/>
        <w:rPr>
          <w:sz w:val="22"/>
          <w:szCs w:val="22"/>
        </w:rPr>
      </w:pPr>
    </w:p>
    <w:p w14:paraId="1DCB6544" w14:textId="217B2FCA" w:rsidR="00DF1B47" w:rsidRDefault="00DF1B47" w:rsidP="00153C92">
      <w:pPr>
        <w:pStyle w:val="Odsekzoznamu1"/>
        <w:numPr>
          <w:ilvl w:val="0"/>
          <w:numId w:val="59"/>
        </w:numPr>
        <w:spacing w:after="120"/>
        <w:jc w:val="both"/>
        <w:rPr>
          <w:sz w:val="22"/>
          <w:szCs w:val="22"/>
        </w:rPr>
      </w:pPr>
      <w:commentRangeStart w:id="7"/>
      <w:r w:rsidRPr="00153C92">
        <w:rPr>
          <w:sz w:val="22"/>
          <w:szCs w:val="22"/>
        </w:rPr>
        <w:t xml:space="preserve">Zmluvné strany sa osobitne dohodli, že Poskytovateľ môže poskytnúť ďalšiu zálohovú platbu aj bez predchádzajúceho schválenia Žiadosti o platbu (zúčtovanie zálohovej platby) v súlade s Výnimkou zo Systému finančného riadenia štrukturálnych fondov, Kohézneho fondu a Európskeho námorného a rybárskeho fondu na programové obdobie 2014 – 2020 zo dňa 08.04.2020. </w:t>
      </w:r>
      <w:r w:rsidR="00153C92" w:rsidRPr="00153C92">
        <w:rPr>
          <w:sz w:val="22"/>
          <w:szCs w:val="22"/>
        </w:rPr>
        <w:t>Postup podľa predchádzajúcej vety je časovo obmedzený na platnosť uvedenej Výnimky.</w:t>
      </w:r>
      <w:r w:rsidRPr="00153C92">
        <w:rPr>
          <w:sz w:val="22"/>
          <w:szCs w:val="22"/>
        </w:rPr>
        <w:t xml:space="preserve"> </w:t>
      </w:r>
      <w:commentRangeEnd w:id="7"/>
      <w:r w:rsidR="00153C92">
        <w:rPr>
          <w:rStyle w:val="Odkaznakomentr"/>
          <w:rFonts w:eastAsia="Times New Roman"/>
          <w:lang w:val="x-none" w:eastAsia="x-none"/>
        </w:rPr>
        <w:commentReference w:id="7"/>
      </w:r>
    </w:p>
    <w:p w14:paraId="620012A8" w14:textId="77777777" w:rsidR="00153C92" w:rsidRDefault="00153C92" w:rsidP="00153C92">
      <w:pPr>
        <w:pStyle w:val="Odsekzoznamu"/>
        <w:rPr>
          <w:sz w:val="22"/>
          <w:szCs w:val="22"/>
        </w:rPr>
      </w:pPr>
    </w:p>
    <w:p w14:paraId="1EF8AF8E" w14:textId="77777777" w:rsidR="00DF1B47" w:rsidRPr="00DF1B47" w:rsidRDefault="00DF1B47" w:rsidP="00DF1B47">
      <w:pPr>
        <w:pStyle w:val="Odsekzoznamu1"/>
        <w:numPr>
          <w:ilvl w:val="0"/>
          <w:numId w:val="59"/>
        </w:numPr>
        <w:spacing w:after="120"/>
        <w:jc w:val="both"/>
        <w:rPr>
          <w:sz w:val="22"/>
          <w:szCs w:val="22"/>
        </w:rPr>
      </w:pPr>
      <w:r w:rsidRPr="00DF1B47">
        <w:rPr>
          <w:sz w:val="22"/>
          <w:szCs w:val="22"/>
        </w:rPr>
        <w:t>Ak došlo k márnemu uplynutiu pôvodne dohodnutej 9-mesačnej lehoty na zúčtovanie zálohovej platby, ktorá sa Výnimkou, resp. Systémom finančného riadenia predĺžila na 12 mesiacov, nepovažuje sa to za omeškanie Prijímateľa za predpokladu, že splní svoje povinnosti v tejto predĺženej 12-mesačnej lehote. Predĺžením lehoty na 12 mesiacov nie je začiatok plynutia tejto lehoty dotknutý.</w:t>
      </w:r>
    </w:p>
    <w:p w14:paraId="400FEC9F" w14:textId="77777777" w:rsidR="00DF1B47" w:rsidRPr="00E206A6" w:rsidRDefault="00DF1B47" w:rsidP="00533AAF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4242F6C" w:rsidR="00A91910" w:rsidRPr="00A91910" w:rsidRDefault="00A91910" w:rsidP="00D72FF2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71040098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734C5420" w:rsidR="00A91910" w:rsidRPr="00A91910" w:rsidRDefault="00E34019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</w:t>
      </w:r>
      <w:r w:rsidR="00A91910" w:rsidRPr="00A91910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9C2F7D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0F9263D5" w:rsidR="009D4214" w:rsidRDefault="00B878E5" w:rsidP="00533AAF">
      <w:pPr>
        <w:pStyle w:val="Odsekzoznamu1"/>
        <w:numPr>
          <w:ilvl w:val="0"/>
          <w:numId w:val="67"/>
        </w:numPr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 xml:space="preserve">finančnej kontrole </w:t>
      </w:r>
      <w:r w:rsidRPr="00A1088D">
        <w:rPr>
          <w:sz w:val="22"/>
          <w:szCs w:val="22"/>
        </w:rPr>
        <w:t>a 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E0C8E35" w14:textId="77777777" w:rsidR="006338C6" w:rsidRDefault="006338C6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</w:p>
    <w:p w14:paraId="6588B6A2" w14:textId="0B5E1889" w:rsidR="001C6578" w:rsidRDefault="00A91910" w:rsidP="002145FE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 xml:space="preserve">Po vykonaní kontroly Poskytovateľ </w:t>
      </w:r>
      <w:r w:rsidR="004E3D20">
        <w:rPr>
          <w:sz w:val="22"/>
          <w:szCs w:val="22"/>
        </w:rPr>
        <w:t xml:space="preserve">podľa predchádzajúceho odseku </w:t>
      </w:r>
      <w:r w:rsidRPr="009D4214">
        <w:rPr>
          <w:sz w:val="22"/>
          <w:szCs w:val="22"/>
        </w:rPr>
        <w:t>Žiadosť o platbu schváli v plnej výške, schváli v zníženej výške</w:t>
      </w:r>
      <w:r w:rsidR="00B0411F" w:rsidRPr="009D4214">
        <w:rPr>
          <w:sz w:val="22"/>
          <w:szCs w:val="22"/>
        </w:rPr>
        <w:t>, zamietne</w:t>
      </w:r>
      <w:r w:rsidR="006338C6">
        <w:rPr>
          <w:sz w:val="22"/>
          <w:szCs w:val="22"/>
        </w:rPr>
        <w:t xml:space="preserve"> alebo </w:t>
      </w:r>
      <w:r w:rsidR="0056773A" w:rsidRPr="009D4214">
        <w:rPr>
          <w:sz w:val="22"/>
          <w:szCs w:val="22"/>
        </w:rPr>
        <w:t>pozastaví</w:t>
      </w:r>
      <w:r w:rsidR="006338C6">
        <w:rPr>
          <w:sz w:val="22"/>
          <w:szCs w:val="22"/>
        </w:rPr>
        <w:t xml:space="preserve">, pričom časť nárokovaných výdavkov, u ktorých je potrebné pokračovať v kontrole, môže </w:t>
      </w:r>
      <w:r w:rsidR="00B0411F" w:rsidRPr="009D4214">
        <w:rPr>
          <w:sz w:val="22"/>
          <w:szCs w:val="22"/>
        </w:rPr>
        <w:t>vyčlen</w:t>
      </w:r>
      <w:r w:rsidR="006338C6">
        <w:rPr>
          <w:sz w:val="22"/>
          <w:szCs w:val="22"/>
        </w:rPr>
        <w:t>iť</w:t>
      </w:r>
      <w:r w:rsidR="00FC205A">
        <w:rPr>
          <w:sz w:val="22"/>
          <w:szCs w:val="22"/>
        </w:rPr>
        <w:t>,</w:t>
      </w:r>
      <w:r w:rsidR="006338C6">
        <w:rPr>
          <w:sz w:val="22"/>
          <w:szCs w:val="22"/>
        </w:rPr>
        <w:t xml:space="preserve"> a to v lehotách určených Systémom finančného riadenia, resp. vo Výnimke.</w:t>
      </w:r>
      <w:r w:rsidRPr="002145FE">
        <w:rPr>
          <w:sz w:val="22"/>
          <w:szCs w:val="22"/>
        </w:rPr>
        <w:t xml:space="preserve"> Prijímateľovi vznikne nárok na vyplatenie platby iba ak podá úplnú a správnu Žiadosť o platbu, a to až v momente schválenia súhrnnej Žiadosti o platbu Certifikačným orgánom, a to len v rozsahu Schválených oprávnených výdavkov zo strany </w:t>
      </w:r>
      <w:r w:rsidR="00CE3D33">
        <w:rPr>
          <w:sz w:val="22"/>
          <w:szCs w:val="22"/>
        </w:rPr>
        <w:t>Poskytovateľa</w:t>
      </w:r>
      <w:r w:rsidR="00CE3D33" w:rsidRPr="002145FE">
        <w:rPr>
          <w:sz w:val="22"/>
          <w:szCs w:val="22"/>
        </w:rPr>
        <w:t xml:space="preserve"> </w:t>
      </w:r>
      <w:r w:rsidRPr="002145FE">
        <w:rPr>
          <w:sz w:val="22"/>
          <w:szCs w:val="22"/>
        </w:rPr>
        <w:t xml:space="preserve">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5C5B90CA" w:rsidR="00E206A6" w:rsidRPr="00A1088D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A1088D">
        <w:rPr>
          <w:sz w:val="22"/>
          <w:szCs w:val="22"/>
        </w:rPr>
        <w:t xml:space="preserve">Ak Žiadosť o platbu obsahuje výdavky, ktoré sú predmetom Prebiehajúceho skúmania, Poskytovateľ pozastaví schvaľovanie dotknutých výdavkov až do času ukončenia </w:t>
      </w:r>
      <w:r w:rsidR="00EE3440">
        <w:rPr>
          <w:sz w:val="22"/>
          <w:szCs w:val="22"/>
        </w:rPr>
        <w:t xml:space="preserve">Prebiehajúceho </w:t>
      </w:r>
      <w:r w:rsidRPr="00A1088D">
        <w:rPr>
          <w:sz w:val="22"/>
          <w:szCs w:val="22"/>
        </w:rPr>
        <w:t xml:space="preserve">skúmania.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991C35" w14:textId="75DE6C8F" w:rsidR="00973587" w:rsidRDefault="00556722" w:rsidP="0097358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556722">
        <w:rPr>
          <w:sz w:val="22"/>
          <w:szCs w:val="22"/>
        </w:rPr>
        <w:t>Ak nie je možné prílohy k </w:t>
      </w:r>
      <w:r w:rsidRPr="00973587">
        <w:rPr>
          <w:sz w:val="22"/>
          <w:szCs w:val="22"/>
        </w:rPr>
        <w:t>Žiadosti o platbu predložiť elektronicky v ITMS2014+</w:t>
      </w:r>
      <w:r w:rsidRPr="00556722">
        <w:rPr>
          <w:sz w:val="22"/>
          <w:szCs w:val="22"/>
        </w:rPr>
        <w:t xml:space="preserve">, </w:t>
      </w:r>
      <w:r w:rsidRPr="00973587">
        <w:rPr>
          <w:sz w:val="22"/>
          <w:szCs w:val="22"/>
        </w:rPr>
        <w:t xml:space="preserve">je Prijímateľ oprávnený predložiť prílohy k Žiadosti o platbu aj v listinnej forme (účtovné doklady, výpisy z účtu, podporná dokumentácia </w:t>
      </w:r>
      <w:r w:rsidR="00973587">
        <w:rPr>
          <w:sz w:val="22"/>
          <w:szCs w:val="22"/>
        </w:rPr>
        <w:t>vo forme rovnopisov</w:t>
      </w:r>
      <w:r w:rsidRPr="00973587">
        <w:rPr>
          <w:sz w:val="22"/>
          <w:szCs w:val="22"/>
        </w:rPr>
        <w:t xml:space="preserve"> originálov alebo ich kópie).</w:t>
      </w:r>
      <w:r w:rsidR="00903B26">
        <w:rPr>
          <w:sz w:val="22"/>
          <w:szCs w:val="22"/>
        </w:rPr>
        <w:t xml:space="preserve"> </w:t>
      </w:r>
    </w:p>
    <w:p w14:paraId="393270CF" w14:textId="77777777" w:rsidR="00A91910" w:rsidRPr="00A91910" w:rsidRDefault="00A91910" w:rsidP="00D72FF2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516619C3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</w:t>
      </w:r>
      <w:r w:rsidR="002F403B">
        <w:rPr>
          <w:color w:val="000000"/>
          <w:sz w:val="22"/>
          <w:szCs w:val="22"/>
        </w:rPr>
        <w:t xml:space="preserve"> Kombinácia všetkých troch systémov financovania (systém zálohových platieb, systém </w:t>
      </w:r>
      <w:proofErr w:type="spellStart"/>
      <w:r w:rsidR="002F403B">
        <w:rPr>
          <w:color w:val="000000"/>
          <w:sz w:val="22"/>
          <w:szCs w:val="22"/>
        </w:rPr>
        <w:t>predfinancovania</w:t>
      </w:r>
      <w:proofErr w:type="spellEnd"/>
      <w:r w:rsidR="002F403B">
        <w:rPr>
          <w:color w:val="000000"/>
          <w:sz w:val="22"/>
          <w:szCs w:val="22"/>
        </w:rPr>
        <w:t xml:space="preserve"> a systém refundácie navzájom) je možná pre všetkých prijímateľov, za dodržania podmienok definovaných vo Výnimke, v Systéme finančného riadenia a vo Výzve.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24782A96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22FE6897" w14:textId="77777777" w:rsidR="00D93041" w:rsidRDefault="00D93041" w:rsidP="00533AAF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EB6CC3C" w14:textId="23857743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lastRenderedPageBreak/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>Pri využití troch systémov financovania v rámci jedného projektu</w:t>
      </w:r>
      <w:r w:rsidR="00002ECC">
        <w:rPr>
          <w:sz w:val="22"/>
          <w:szCs w:val="22"/>
        </w:rPr>
        <w:t>, Prijímateľ oznámi identifikované rozpočtové položky Projektu</w:t>
      </w:r>
      <w:r w:rsidR="001E5893">
        <w:rPr>
          <w:sz w:val="22"/>
          <w:szCs w:val="22"/>
        </w:rPr>
        <w:t xml:space="preserve"> </w:t>
      </w:r>
      <w:proofErr w:type="spellStart"/>
      <w:r w:rsidR="0039182E">
        <w:rPr>
          <w:sz w:val="22"/>
          <w:szCs w:val="22"/>
        </w:rPr>
        <w:t>Poskytovateľovi</w:t>
      </w:r>
      <w:r w:rsidR="00DF6B24" w:rsidRPr="00CD7B96">
        <w:rPr>
          <w:color w:val="000000"/>
          <w:sz w:val="22"/>
          <w:szCs w:val="22"/>
        </w:rPr>
        <w:t>tak</w:t>
      </w:r>
      <w:proofErr w:type="spellEnd"/>
      <w:r w:rsidR="00DF6B24" w:rsidRPr="00CD7B96">
        <w:rPr>
          <w:color w:val="000000"/>
          <w:sz w:val="22"/>
          <w:szCs w:val="22"/>
        </w:rPr>
        <w:t>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044FBC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D72FF2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197EDB2B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54F7235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8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</w:t>
      </w:r>
      <w:r w:rsidR="004A2AAB">
        <w:rPr>
          <w:sz w:val="22"/>
          <w:szCs w:val="22"/>
        </w:rPr>
        <w:t>Z</w:t>
      </w:r>
      <w:r w:rsidRPr="00A91910">
        <w:rPr>
          <w:sz w:val="22"/>
          <w:szCs w:val="22"/>
        </w:rPr>
        <w:t xml:space="preserve">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8"/>
      <w:r w:rsidRPr="00A91910">
        <w:rPr>
          <w:rStyle w:val="Odkaznakomentr"/>
          <w:sz w:val="22"/>
          <w:szCs w:val="22"/>
        </w:rPr>
        <w:commentReference w:id="8"/>
      </w:r>
    </w:p>
    <w:p w14:paraId="669BE822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5944DAD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7CA9B9E7" w14:textId="77777777" w:rsidR="00D93041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</w:t>
      </w:r>
      <w:r w:rsidR="00D93041">
        <w:rPr>
          <w:rFonts w:ascii="Times New Roman" w:hAnsi="Times New Roman"/>
          <w:color w:val="000000"/>
        </w:rPr>
        <w:t>,</w:t>
      </w:r>
    </w:p>
    <w:p w14:paraId="17B3850C" w14:textId="5385ABDC" w:rsidR="00637205" w:rsidRDefault="00D93041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ak </w:t>
      </w:r>
      <w:r w:rsidRPr="00CA45C6">
        <w:rPr>
          <w:rFonts w:ascii="Times New Roman" w:hAnsi="Times New Roman"/>
          <w:color w:val="000000"/>
        </w:rPr>
        <w:t xml:space="preserve">Prijímateľ nemôže splniť svoj záväzok veriteľovi, pretože veriteľ je neprítomný alebo je v omeškaní alebo ak Prijímateľ má odôvodnené pochybnosti, kto je veriteľom, </w:t>
      </w:r>
      <w:r w:rsidRPr="00CA45C6">
        <w:rPr>
          <w:rFonts w:ascii="Times New Roman" w:hAnsi="Times New Roman"/>
          <w:color w:val="000000"/>
        </w:rPr>
        <w:lastRenderedPageBreak/>
        <w:t>alebo veriteľa nepozná, nastávajú účinky splnenia záväzku, ak jeho predmet Prijímateľ uloží do notárskej úschovy na účely splnenia záväzku. Vynaložené potrebné náklady s tým spojené znáša veriteľ</w:t>
      </w:r>
      <w:r w:rsidR="00A91910" w:rsidRPr="00510D6A">
        <w:rPr>
          <w:rFonts w:ascii="Times New Roman" w:hAnsi="Times New Roman"/>
          <w:color w:val="000000"/>
        </w:rPr>
        <w:t>.</w:t>
      </w:r>
    </w:p>
    <w:p w14:paraId="5D03D076" w14:textId="77777777" w:rsidR="00A91910" w:rsidRPr="00904D37" w:rsidRDefault="00A91910" w:rsidP="00044FBC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044FB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28F10768" w14:textId="540F1F3E" w:rsidR="00F43166" w:rsidRDefault="00F43166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CA45C6">
        <w:rPr>
          <w:color w:val="000000"/>
          <w:sz w:val="22"/>
          <w:szCs w:val="22"/>
        </w:rPr>
        <w:t xml:space="preserve">V prípade úhrady záväzku Prijímateľa oprávnenej osobe (veriteľovi) na základe uloženia predmetu záväzku medzi Prijímateľom a veriteľom do notárskej úschovy v zmysle Právnych predpisov SR Prijímateľ v rámci dokumentácie Žiadosti o platbu predloží </w:t>
      </w:r>
      <w:r w:rsidR="00B83EB9">
        <w:rPr>
          <w:color w:val="000000"/>
          <w:sz w:val="22"/>
          <w:szCs w:val="22"/>
        </w:rPr>
        <w:t xml:space="preserve">notársku zápisnicu </w:t>
      </w:r>
      <w:r w:rsidRPr="00CA45C6">
        <w:rPr>
          <w:color w:val="000000"/>
          <w:sz w:val="22"/>
          <w:szCs w:val="22"/>
        </w:rPr>
        <w:t>a dokumenty preukazujúce vykonanie uloženia predmetu záväzku do notárskej úschovy</w:t>
      </w:r>
      <w:r w:rsidR="00B83EB9">
        <w:rPr>
          <w:color w:val="000000"/>
          <w:sz w:val="22"/>
          <w:szCs w:val="22"/>
        </w:rPr>
        <w:t>.</w:t>
      </w:r>
    </w:p>
    <w:p w14:paraId="41B5DDB3" w14:textId="77777777" w:rsidR="00F43166" w:rsidRDefault="00F43166" w:rsidP="00533AAF">
      <w:pPr>
        <w:pStyle w:val="Odsekzoznamu"/>
        <w:rPr>
          <w:color w:val="000000"/>
          <w:sz w:val="22"/>
          <w:szCs w:val="22"/>
        </w:rPr>
      </w:pPr>
    </w:p>
    <w:p w14:paraId="7AA68C5E" w14:textId="49C51630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A311F5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2" w:author="Autor" w:initials="A">
    <w:p w14:paraId="5E4E84E1" w14:textId="2816A092" w:rsidR="005C5BA6" w:rsidRDefault="005C5BA6">
      <w:pPr>
        <w:pStyle w:val="Textkomentra"/>
      </w:pPr>
      <w:r>
        <w:rPr>
          <w:rStyle w:val="Odkaznakomentr"/>
        </w:rPr>
        <w:annotationRef/>
      </w:r>
      <w:r w:rsidRPr="003A5DED">
        <w:rPr>
          <w:lang w:val="sk-SK"/>
        </w:rPr>
        <w:t>Je na rozhodnutí Poskytovateľa, či bude aplikovať odvod výnosov. V prípade, ak sa Poskytovateľ rozhodne uplatniť odvod výnosov, ods. 5 bude v zmluve o NFP uvedený. V opačnom prípade je potrebné ods. 5 odstrániť zo zmluvy o poskytnutí NFP a zároveň je potrebné adekvátne upraviť aj čl. 10 ods. 1 písmeno i) a ods. 2.</w:t>
      </w:r>
    </w:p>
  </w:comment>
  <w:comment w:id="3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4" w:author="Autor" w:initials="A">
    <w:p w14:paraId="6E26B2A4" w14:textId="2F30CFAF" w:rsidR="002857DB" w:rsidRPr="002857DB" w:rsidRDefault="002857DB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 xml:space="preserve">Tu je ponechaný priestor na to, aby poskytovateľ doplnil označenie udelenej výnimky – môže ísť o iniciatívnu výnimku ministra financií zo dňa 08.04.2020 alebo individuálnu výnimku udelenú konkrétnemu poskytovateľovi. </w:t>
      </w:r>
    </w:p>
  </w:comment>
  <w:comment w:id="5" w:author="Autor" w:initials="A">
    <w:p w14:paraId="0D60AAD8" w14:textId="30550FB9" w:rsidR="00EE08E6" w:rsidRPr="00EE08E6" w:rsidRDefault="00EE08E6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 xml:space="preserve">Uvedie sa </w:t>
      </w:r>
      <w:r w:rsidRPr="00B82D76">
        <w:rPr>
          <w:lang w:val="sk-SK"/>
        </w:rPr>
        <w:t xml:space="preserve">percento </w:t>
      </w:r>
      <w:r w:rsidR="00BB6CC6" w:rsidRPr="00B82D76">
        <w:rPr>
          <w:lang w:val="sk-SK"/>
        </w:rPr>
        <w:t>v súlade so Systémom finančného riadenia, resp.</w:t>
      </w:r>
      <w:r w:rsidR="00B82D76">
        <w:rPr>
          <w:lang w:val="sk-SK"/>
        </w:rPr>
        <w:t xml:space="preserve"> </w:t>
      </w:r>
      <w:r w:rsidRPr="00B82D76">
        <w:rPr>
          <w:lang w:val="sk-SK"/>
        </w:rPr>
        <w:t>s</w:t>
      </w:r>
      <w:r>
        <w:rPr>
          <w:lang w:val="sk-SK"/>
        </w:rPr>
        <w:t xml:space="preserve"> udelenou iniciatívnou výnimkou zo SFR zo dňa 08.04.2020 alebo v súlade s udelenou individuálnou výnimkou zo SFR. </w:t>
      </w:r>
    </w:p>
  </w:comment>
  <w:comment w:id="6" w:author="Autor" w:initials="A">
    <w:p w14:paraId="4B131A46" w14:textId="04DB488C" w:rsidR="00AA703F" w:rsidRPr="00AA703F" w:rsidRDefault="00AA703F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 xml:space="preserve">Uvedie sa </w:t>
      </w:r>
      <w:r w:rsidRPr="00B82D76">
        <w:rPr>
          <w:lang w:val="sk-SK"/>
        </w:rPr>
        <w:t xml:space="preserve">percento </w:t>
      </w:r>
      <w:r w:rsidR="00BB6CC6" w:rsidRPr="00B82D76">
        <w:rPr>
          <w:lang w:val="sk-SK"/>
        </w:rPr>
        <w:t xml:space="preserve">v súlade so Systémom finančného riadenia, resp. </w:t>
      </w:r>
      <w:r w:rsidRPr="00B82D76">
        <w:rPr>
          <w:lang w:val="sk-SK"/>
        </w:rPr>
        <w:t>s ud</w:t>
      </w:r>
      <w:r>
        <w:rPr>
          <w:lang w:val="sk-SK"/>
        </w:rPr>
        <w:t>elenou iniciatívnou Výnimkou zo SFR zo dňa 08.04.2020 alebo v súlade s udelenou individuálnou výnimkou zo SFR.</w:t>
      </w:r>
    </w:p>
  </w:comment>
  <w:comment w:id="7" w:author="Autor" w:initials="A">
    <w:p w14:paraId="5230B81D" w14:textId="417AB66D" w:rsidR="00153C92" w:rsidRDefault="00153C92">
      <w:pPr>
        <w:pStyle w:val="Textkomentra"/>
      </w:pPr>
      <w:r>
        <w:rPr>
          <w:rStyle w:val="Odkaznakomentr"/>
        </w:rPr>
        <w:annotationRef/>
      </w:r>
      <w:r w:rsidRPr="00153C92">
        <w:t>Táto možnosť je  časovo obmedzená na platnosť iniciatívnej Výnimky zo SFR.</w:t>
      </w:r>
    </w:p>
  </w:comment>
  <w:comment w:id="8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643EA9" w15:done="0"/>
  <w15:commentEx w15:paraId="5E4E84E1" w15:done="0"/>
  <w15:commentEx w15:paraId="45C4C178" w15:done="0"/>
  <w15:commentEx w15:paraId="6E26B2A4" w15:done="0"/>
  <w15:commentEx w15:paraId="0D60AAD8" w15:done="0"/>
  <w15:commentEx w15:paraId="4B131A46" w15:done="0"/>
  <w15:commentEx w15:paraId="5230B81D" w15:done="0"/>
  <w15:commentEx w15:paraId="146390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643EA9" w16cid:durableId="1FFB129F"/>
  <w16cid:commentId w16cid:paraId="45C4C178" w16cid:durableId="1FFB12A0"/>
  <w16cid:commentId w16cid:paraId="283EFDE6" w16cid:durableId="1FFB12A1"/>
  <w16cid:commentId w16cid:paraId="139F2A36" w16cid:durableId="1FFB12A2"/>
  <w16cid:commentId w16cid:paraId="14639028" w16cid:durableId="1FFB12A3"/>
  <w16cid:commentId w16cid:paraId="5C23224C" w16cid:durableId="1FFB12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4EF44" w14:textId="77777777" w:rsidR="002D7D25" w:rsidRDefault="002D7D25" w:rsidP="00107570">
      <w:pPr>
        <w:spacing w:after="0" w:line="240" w:lineRule="auto"/>
      </w:pPr>
      <w:r>
        <w:separator/>
      </w:r>
    </w:p>
  </w:endnote>
  <w:endnote w:type="continuationSeparator" w:id="0">
    <w:p w14:paraId="2F5BF017" w14:textId="77777777" w:rsidR="002D7D25" w:rsidRDefault="002D7D25" w:rsidP="00107570">
      <w:pPr>
        <w:spacing w:after="0" w:line="240" w:lineRule="auto"/>
      </w:pPr>
      <w:r>
        <w:continuationSeparator/>
      </w:r>
    </w:p>
  </w:endnote>
  <w:endnote w:type="continuationNotice" w:id="1">
    <w:p w14:paraId="7A28E186" w14:textId="77777777" w:rsidR="002D7D25" w:rsidRDefault="002D7D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79ECB" w14:textId="34CE56BF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F761CB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F761CB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D19E" w14:textId="1EABD4EC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F761CB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F761CB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B97D0" w14:textId="77777777" w:rsidR="002D7D25" w:rsidRDefault="002D7D25" w:rsidP="00107570">
      <w:pPr>
        <w:spacing w:after="0" w:line="240" w:lineRule="auto"/>
      </w:pPr>
      <w:r>
        <w:separator/>
      </w:r>
    </w:p>
  </w:footnote>
  <w:footnote w:type="continuationSeparator" w:id="0">
    <w:p w14:paraId="0C5F0EFD" w14:textId="77777777" w:rsidR="002D7D25" w:rsidRDefault="002D7D25" w:rsidP="00107570">
      <w:pPr>
        <w:spacing w:after="0" w:line="240" w:lineRule="auto"/>
      </w:pPr>
      <w:r>
        <w:continuationSeparator/>
      </w:r>
    </w:p>
  </w:footnote>
  <w:footnote w:type="continuationNotice" w:id="1">
    <w:p w14:paraId="5579F200" w14:textId="77777777" w:rsidR="002D7D25" w:rsidRDefault="002D7D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AAE2C5C"/>
    <w:multiLevelType w:val="hybridMultilevel"/>
    <w:tmpl w:val="DE585618"/>
    <w:lvl w:ilvl="0" w:tplc="BE9871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10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D127B1"/>
    <w:multiLevelType w:val="hybridMultilevel"/>
    <w:tmpl w:val="83C6DA88"/>
    <w:lvl w:ilvl="0" w:tplc="BD46A67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A15359D"/>
    <w:multiLevelType w:val="hybridMultilevel"/>
    <w:tmpl w:val="EEFCC17C"/>
    <w:lvl w:ilvl="0" w:tplc="BE9871D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6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4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6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9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0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1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4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7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8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9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0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4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6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10"/>
  </w:num>
  <w:num w:numId="4">
    <w:abstractNumId w:val="58"/>
  </w:num>
  <w:num w:numId="5">
    <w:abstractNumId w:val="36"/>
  </w:num>
  <w:num w:numId="6">
    <w:abstractNumId w:val="1"/>
  </w:num>
  <w:num w:numId="7">
    <w:abstractNumId w:val="49"/>
  </w:num>
  <w:num w:numId="8">
    <w:abstractNumId w:val="53"/>
  </w:num>
  <w:num w:numId="9">
    <w:abstractNumId w:val="64"/>
  </w:num>
  <w:num w:numId="10">
    <w:abstractNumId w:val="44"/>
  </w:num>
  <w:num w:numId="11">
    <w:abstractNumId w:val="6"/>
  </w:num>
  <w:num w:numId="12">
    <w:abstractNumId w:val="14"/>
  </w:num>
  <w:num w:numId="13">
    <w:abstractNumId w:val="23"/>
  </w:num>
  <w:num w:numId="14">
    <w:abstractNumId w:val="0"/>
  </w:num>
  <w:num w:numId="15">
    <w:abstractNumId w:val="56"/>
  </w:num>
  <w:num w:numId="16">
    <w:abstractNumId w:val="47"/>
  </w:num>
  <w:num w:numId="17">
    <w:abstractNumId w:val="65"/>
  </w:num>
  <w:num w:numId="18">
    <w:abstractNumId w:val="63"/>
  </w:num>
  <w:num w:numId="19">
    <w:abstractNumId w:val="43"/>
  </w:num>
  <w:num w:numId="20">
    <w:abstractNumId w:val="2"/>
  </w:num>
  <w:num w:numId="21">
    <w:abstractNumId w:val="32"/>
  </w:num>
  <w:num w:numId="22">
    <w:abstractNumId w:val="39"/>
  </w:num>
  <w:num w:numId="23">
    <w:abstractNumId w:val="24"/>
  </w:num>
  <w:num w:numId="24">
    <w:abstractNumId w:val="37"/>
  </w:num>
  <w:num w:numId="25">
    <w:abstractNumId w:val="18"/>
  </w:num>
  <w:num w:numId="26">
    <w:abstractNumId w:val="27"/>
  </w:num>
  <w:num w:numId="27">
    <w:abstractNumId w:val="12"/>
  </w:num>
  <w:num w:numId="28">
    <w:abstractNumId w:val="60"/>
  </w:num>
  <w:num w:numId="29">
    <w:abstractNumId w:val="66"/>
  </w:num>
  <w:num w:numId="30">
    <w:abstractNumId w:val="4"/>
  </w:num>
  <w:num w:numId="31">
    <w:abstractNumId w:val="15"/>
  </w:num>
  <w:num w:numId="32">
    <w:abstractNumId w:val="52"/>
  </w:num>
  <w:num w:numId="33">
    <w:abstractNumId w:val="30"/>
  </w:num>
  <w:num w:numId="34">
    <w:abstractNumId w:val="50"/>
  </w:num>
  <w:num w:numId="35">
    <w:abstractNumId w:val="59"/>
  </w:num>
  <w:num w:numId="36">
    <w:abstractNumId w:val="51"/>
  </w:num>
  <w:num w:numId="37">
    <w:abstractNumId w:val="57"/>
  </w:num>
  <w:num w:numId="38">
    <w:abstractNumId w:val="19"/>
  </w:num>
  <w:num w:numId="39">
    <w:abstractNumId w:val="31"/>
  </w:num>
  <w:num w:numId="40">
    <w:abstractNumId w:val="40"/>
  </w:num>
  <w:num w:numId="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4"/>
  </w:num>
  <w:num w:numId="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5"/>
  </w:num>
  <w:num w:numId="48">
    <w:abstractNumId w:val="11"/>
  </w:num>
  <w:num w:numId="49">
    <w:abstractNumId w:val="35"/>
  </w:num>
  <w:num w:numId="50">
    <w:abstractNumId w:val="62"/>
  </w:num>
  <w:num w:numId="51">
    <w:abstractNumId w:val="41"/>
  </w:num>
  <w:num w:numId="52">
    <w:abstractNumId w:val="55"/>
  </w:num>
  <w:num w:numId="53">
    <w:abstractNumId w:val="54"/>
  </w:num>
  <w:num w:numId="54">
    <w:abstractNumId w:val="25"/>
  </w:num>
  <w:num w:numId="55">
    <w:abstractNumId w:val="45"/>
  </w:num>
  <w:num w:numId="56">
    <w:abstractNumId w:val="21"/>
  </w:num>
  <w:num w:numId="57">
    <w:abstractNumId w:val="26"/>
  </w:num>
  <w:num w:numId="58">
    <w:abstractNumId w:val="38"/>
  </w:num>
  <w:num w:numId="59">
    <w:abstractNumId w:val="61"/>
  </w:num>
  <w:num w:numId="60">
    <w:abstractNumId w:val="16"/>
  </w:num>
  <w:num w:numId="61">
    <w:abstractNumId w:val="28"/>
  </w:num>
  <w:num w:numId="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9"/>
  </w:num>
  <w:num w:numId="65">
    <w:abstractNumId w:val="3"/>
  </w:num>
  <w:num w:numId="66">
    <w:abstractNumId w:val="42"/>
  </w:num>
  <w:num w:numId="67">
    <w:abstractNumId w:val="17"/>
  </w:num>
  <w:num w:numId="68">
    <w:abstractNumId w:val="8"/>
  </w:num>
  <w:num w:numId="69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2ECC"/>
    <w:rsid w:val="00006712"/>
    <w:rsid w:val="000121B7"/>
    <w:rsid w:val="000125B9"/>
    <w:rsid w:val="000135C4"/>
    <w:rsid w:val="0002277A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B01CB"/>
    <w:rsid w:val="000C22B1"/>
    <w:rsid w:val="000C27EB"/>
    <w:rsid w:val="000D1AD5"/>
    <w:rsid w:val="000D459D"/>
    <w:rsid w:val="000D4BDF"/>
    <w:rsid w:val="000D72C6"/>
    <w:rsid w:val="000D787C"/>
    <w:rsid w:val="000D78C0"/>
    <w:rsid w:val="000E1FE3"/>
    <w:rsid w:val="000F3594"/>
    <w:rsid w:val="0010362B"/>
    <w:rsid w:val="00104356"/>
    <w:rsid w:val="00107570"/>
    <w:rsid w:val="00113558"/>
    <w:rsid w:val="001139FF"/>
    <w:rsid w:val="00121A28"/>
    <w:rsid w:val="001228D1"/>
    <w:rsid w:val="00123681"/>
    <w:rsid w:val="00125698"/>
    <w:rsid w:val="0014042F"/>
    <w:rsid w:val="0014453B"/>
    <w:rsid w:val="00146280"/>
    <w:rsid w:val="00146649"/>
    <w:rsid w:val="00153C92"/>
    <w:rsid w:val="00155F12"/>
    <w:rsid w:val="00160BAD"/>
    <w:rsid w:val="00174CB4"/>
    <w:rsid w:val="00174D35"/>
    <w:rsid w:val="00183216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0E4E"/>
    <w:rsid w:val="001D1C6C"/>
    <w:rsid w:val="001D2CE7"/>
    <w:rsid w:val="001E030D"/>
    <w:rsid w:val="001E5893"/>
    <w:rsid w:val="001F6CC1"/>
    <w:rsid w:val="00202FDE"/>
    <w:rsid w:val="0020565E"/>
    <w:rsid w:val="0021081B"/>
    <w:rsid w:val="00211C45"/>
    <w:rsid w:val="002145FE"/>
    <w:rsid w:val="0021677A"/>
    <w:rsid w:val="00220FFC"/>
    <w:rsid w:val="00223EF2"/>
    <w:rsid w:val="0023631A"/>
    <w:rsid w:val="0023687E"/>
    <w:rsid w:val="00240774"/>
    <w:rsid w:val="00241CBF"/>
    <w:rsid w:val="002479A2"/>
    <w:rsid w:val="002542F3"/>
    <w:rsid w:val="002707A0"/>
    <w:rsid w:val="00270B3B"/>
    <w:rsid w:val="002807F3"/>
    <w:rsid w:val="00283169"/>
    <w:rsid w:val="002837AB"/>
    <w:rsid w:val="002857DB"/>
    <w:rsid w:val="00285F4F"/>
    <w:rsid w:val="002966B1"/>
    <w:rsid w:val="002A0F0A"/>
    <w:rsid w:val="002A27CC"/>
    <w:rsid w:val="002B63B4"/>
    <w:rsid w:val="002B667C"/>
    <w:rsid w:val="002B73A5"/>
    <w:rsid w:val="002C09DB"/>
    <w:rsid w:val="002C5465"/>
    <w:rsid w:val="002D1750"/>
    <w:rsid w:val="002D72EF"/>
    <w:rsid w:val="002D7B9E"/>
    <w:rsid w:val="002D7C90"/>
    <w:rsid w:val="002D7D25"/>
    <w:rsid w:val="002E3E83"/>
    <w:rsid w:val="002F30E1"/>
    <w:rsid w:val="002F403B"/>
    <w:rsid w:val="002F6EB8"/>
    <w:rsid w:val="00301D23"/>
    <w:rsid w:val="00304BCE"/>
    <w:rsid w:val="00306DE1"/>
    <w:rsid w:val="00307158"/>
    <w:rsid w:val="00310431"/>
    <w:rsid w:val="0031189F"/>
    <w:rsid w:val="0031356B"/>
    <w:rsid w:val="00313888"/>
    <w:rsid w:val="00313D2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47843"/>
    <w:rsid w:val="00355838"/>
    <w:rsid w:val="003570A7"/>
    <w:rsid w:val="003726AF"/>
    <w:rsid w:val="00372E64"/>
    <w:rsid w:val="00374378"/>
    <w:rsid w:val="00375B5A"/>
    <w:rsid w:val="0037663F"/>
    <w:rsid w:val="00376862"/>
    <w:rsid w:val="003818D4"/>
    <w:rsid w:val="00383F0E"/>
    <w:rsid w:val="0039182E"/>
    <w:rsid w:val="003A0172"/>
    <w:rsid w:val="003A1257"/>
    <w:rsid w:val="003A5DED"/>
    <w:rsid w:val="003B1B29"/>
    <w:rsid w:val="003B1FC8"/>
    <w:rsid w:val="003B3F46"/>
    <w:rsid w:val="003B5AF3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3F52FF"/>
    <w:rsid w:val="004015E8"/>
    <w:rsid w:val="0041671B"/>
    <w:rsid w:val="0041678E"/>
    <w:rsid w:val="004167D9"/>
    <w:rsid w:val="00417284"/>
    <w:rsid w:val="0042095B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47039"/>
    <w:rsid w:val="00450750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2732"/>
    <w:rsid w:val="0049365E"/>
    <w:rsid w:val="00495201"/>
    <w:rsid w:val="004968FD"/>
    <w:rsid w:val="00497767"/>
    <w:rsid w:val="004A01D9"/>
    <w:rsid w:val="004A2AAB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3D20"/>
    <w:rsid w:val="004E774F"/>
    <w:rsid w:val="004F0D77"/>
    <w:rsid w:val="004F30C8"/>
    <w:rsid w:val="004F3B02"/>
    <w:rsid w:val="005001FB"/>
    <w:rsid w:val="00501FDC"/>
    <w:rsid w:val="0050352D"/>
    <w:rsid w:val="00510D6A"/>
    <w:rsid w:val="0051115F"/>
    <w:rsid w:val="00512D79"/>
    <w:rsid w:val="00515995"/>
    <w:rsid w:val="00522A4E"/>
    <w:rsid w:val="0052759C"/>
    <w:rsid w:val="00530F07"/>
    <w:rsid w:val="00531363"/>
    <w:rsid w:val="005336FD"/>
    <w:rsid w:val="00533AAF"/>
    <w:rsid w:val="00537063"/>
    <w:rsid w:val="0054002C"/>
    <w:rsid w:val="00542D6C"/>
    <w:rsid w:val="0054436B"/>
    <w:rsid w:val="00546CA0"/>
    <w:rsid w:val="00546EA5"/>
    <w:rsid w:val="0055539C"/>
    <w:rsid w:val="005561DD"/>
    <w:rsid w:val="00556722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C5BA6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5CE8"/>
    <w:rsid w:val="006068D6"/>
    <w:rsid w:val="00611B53"/>
    <w:rsid w:val="00612CF3"/>
    <w:rsid w:val="00615B06"/>
    <w:rsid w:val="00624C06"/>
    <w:rsid w:val="00632BF1"/>
    <w:rsid w:val="006338C6"/>
    <w:rsid w:val="00637205"/>
    <w:rsid w:val="0064034E"/>
    <w:rsid w:val="006420B0"/>
    <w:rsid w:val="00642A2D"/>
    <w:rsid w:val="006430DB"/>
    <w:rsid w:val="00645053"/>
    <w:rsid w:val="00645A77"/>
    <w:rsid w:val="006475DD"/>
    <w:rsid w:val="00652531"/>
    <w:rsid w:val="00654513"/>
    <w:rsid w:val="00656986"/>
    <w:rsid w:val="0065794B"/>
    <w:rsid w:val="006616EE"/>
    <w:rsid w:val="00664317"/>
    <w:rsid w:val="0066598A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4F0F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5934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4E8"/>
    <w:rsid w:val="00735595"/>
    <w:rsid w:val="00735BE5"/>
    <w:rsid w:val="00744208"/>
    <w:rsid w:val="00747466"/>
    <w:rsid w:val="0075182C"/>
    <w:rsid w:val="00754499"/>
    <w:rsid w:val="00763062"/>
    <w:rsid w:val="00765697"/>
    <w:rsid w:val="007676D8"/>
    <w:rsid w:val="00776169"/>
    <w:rsid w:val="0078059A"/>
    <w:rsid w:val="00781591"/>
    <w:rsid w:val="00781B61"/>
    <w:rsid w:val="00783276"/>
    <w:rsid w:val="007845EB"/>
    <w:rsid w:val="007A22AF"/>
    <w:rsid w:val="007A4F66"/>
    <w:rsid w:val="007A574B"/>
    <w:rsid w:val="007A7CB4"/>
    <w:rsid w:val="007B6D4E"/>
    <w:rsid w:val="007C25BD"/>
    <w:rsid w:val="007C25DC"/>
    <w:rsid w:val="007C2969"/>
    <w:rsid w:val="007C6C30"/>
    <w:rsid w:val="007C75AD"/>
    <w:rsid w:val="007D5801"/>
    <w:rsid w:val="007D6ABC"/>
    <w:rsid w:val="007D7484"/>
    <w:rsid w:val="007E5F95"/>
    <w:rsid w:val="007E7515"/>
    <w:rsid w:val="007F2603"/>
    <w:rsid w:val="007F4993"/>
    <w:rsid w:val="007F5377"/>
    <w:rsid w:val="007F6C8D"/>
    <w:rsid w:val="008014CD"/>
    <w:rsid w:val="0081097E"/>
    <w:rsid w:val="00817431"/>
    <w:rsid w:val="00821D3D"/>
    <w:rsid w:val="008265B2"/>
    <w:rsid w:val="00832751"/>
    <w:rsid w:val="00836F20"/>
    <w:rsid w:val="00841663"/>
    <w:rsid w:val="0084584B"/>
    <w:rsid w:val="00847313"/>
    <w:rsid w:val="00863437"/>
    <w:rsid w:val="008674DD"/>
    <w:rsid w:val="00870BD5"/>
    <w:rsid w:val="00874C6A"/>
    <w:rsid w:val="0087549C"/>
    <w:rsid w:val="008776F4"/>
    <w:rsid w:val="00883499"/>
    <w:rsid w:val="00885615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1E"/>
    <w:rsid w:val="008F2D3B"/>
    <w:rsid w:val="008F3AEF"/>
    <w:rsid w:val="008F3B1E"/>
    <w:rsid w:val="008F3D3B"/>
    <w:rsid w:val="008F4009"/>
    <w:rsid w:val="00901F38"/>
    <w:rsid w:val="00902C06"/>
    <w:rsid w:val="00903B2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3587"/>
    <w:rsid w:val="00976CDB"/>
    <w:rsid w:val="0098020C"/>
    <w:rsid w:val="009803B7"/>
    <w:rsid w:val="009813B6"/>
    <w:rsid w:val="009846DE"/>
    <w:rsid w:val="0099220C"/>
    <w:rsid w:val="00993B37"/>
    <w:rsid w:val="00993DE4"/>
    <w:rsid w:val="009950F1"/>
    <w:rsid w:val="009A0992"/>
    <w:rsid w:val="009A0EB4"/>
    <w:rsid w:val="009A2045"/>
    <w:rsid w:val="009A3620"/>
    <w:rsid w:val="009A63B9"/>
    <w:rsid w:val="009C01CD"/>
    <w:rsid w:val="009C2F7D"/>
    <w:rsid w:val="009C774F"/>
    <w:rsid w:val="009D0DC1"/>
    <w:rsid w:val="009D30D3"/>
    <w:rsid w:val="009D4214"/>
    <w:rsid w:val="009D5F4C"/>
    <w:rsid w:val="009E0A96"/>
    <w:rsid w:val="009E45B1"/>
    <w:rsid w:val="009E5D85"/>
    <w:rsid w:val="009E6433"/>
    <w:rsid w:val="009F0476"/>
    <w:rsid w:val="009F466D"/>
    <w:rsid w:val="00A009BB"/>
    <w:rsid w:val="00A073A2"/>
    <w:rsid w:val="00A07887"/>
    <w:rsid w:val="00A1088D"/>
    <w:rsid w:val="00A15393"/>
    <w:rsid w:val="00A15AEB"/>
    <w:rsid w:val="00A22BF8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65765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A703F"/>
    <w:rsid w:val="00AB36DC"/>
    <w:rsid w:val="00AB56D3"/>
    <w:rsid w:val="00AB7CC6"/>
    <w:rsid w:val="00AC4603"/>
    <w:rsid w:val="00AC5CB0"/>
    <w:rsid w:val="00AC72FE"/>
    <w:rsid w:val="00AD1E4D"/>
    <w:rsid w:val="00AD3E91"/>
    <w:rsid w:val="00AF0353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360D9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2D76"/>
    <w:rsid w:val="00B8389A"/>
    <w:rsid w:val="00B83EB9"/>
    <w:rsid w:val="00B878E5"/>
    <w:rsid w:val="00B87E39"/>
    <w:rsid w:val="00B90244"/>
    <w:rsid w:val="00B91480"/>
    <w:rsid w:val="00B95964"/>
    <w:rsid w:val="00BA58C8"/>
    <w:rsid w:val="00BA5D0E"/>
    <w:rsid w:val="00BB3ED5"/>
    <w:rsid w:val="00BB6CC6"/>
    <w:rsid w:val="00BB7AB0"/>
    <w:rsid w:val="00BD1F35"/>
    <w:rsid w:val="00BD2ED8"/>
    <w:rsid w:val="00BD347F"/>
    <w:rsid w:val="00BD5630"/>
    <w:rsid w:val="00BD7BDB"/>
    <w:rsid w:val="00BE4873"/>
    <w:rsid w:val="00BF0C28"/>
    <w:rsid w:val="00BF33D6"/>
    <w:rsid w:val="00BF4BFC"/>
    <w:rsid w:val="00BF6236"/>
    <w:rsid w:val="00C10D57"/>
    <w:rsid w:val="00C1199A"/>
    <w:rsid w:val="00C1239B"/>
    <w:rsid w:val="00C13721"/>
    <w:rsid w:val="00C15C56"/>
    <w:rsid w:val="00C210A6"/>
    <w:rsid w:val="00C2360A"/>
    <w:rsid w:val="00C25E5E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191"/>
    <w:rsid w:val="00C73360"/>
    <w:rsid w:val="00C8086E"/>
    <w:rsid w:val="00C80C5B"/>
    <w:rsid w:val="00C843D4"/>
    <w:rsid w:val="00C917A1"/>
    <w:rsid w:val="00C92165"/>
    <w:rsid w:val="00C922FE"/>
    <w:rsid w:val="00C92F11"/>
    <w:rsid w:val="00C9782A"/>
    <w:rsid w:val="00CA2CDF"/>
    <w:rsid w:val="00CA5519"/>
    <w:rsid w:val="00CB0EF6"/>
    <w:rsid w:val="00CB600E"/>
    <w:rsid w:val="00CC2EF8"/>
    <w:rsid w:val="00CC3142"/>
    <w:rsid w:val="00CC4E13"/>
    <w:rsid w:val="00CC5133"/>
    <w:rsid w:val="00CC56A4"/>
    <w:rsid w:val="00CD153E"/>
    <w:rsid w:val="00CD30C5"/>
    <w:rsid w:val="00CD3D51"/>
    <w:rsid w:val="00CD56B1"/>
    <w:rsid w:val="00CD7B96"/>
    <w:rsid w:val="00CE1ECE"/>
    <w:rsid w:val="00CE3D33"/>
    <w:rsid w:val="00CE63C2"/>
    <w:rsid w:val="00CE71CE"/>
    <w:rsid w:val="00CF2EE6"/>
    <w:rsid w:val="00CF54A4"/>
    <w:rsid w:val="00CF6DDE"/>
    <w:rsid w:val="00D00E44"/>
    <w:rsid w:val="00D051F1"/>
    <w:rsid w:val="00D06165"/>
    <w:rsid w:val="00D075A6"/>
    <w:rsid w:val="00D07F80"/>
    <w:rsid w:val="00D11EBE"/>
    <w:rsid w:val="00D14060"/>
    <w:rsid w:val="00D25C48"/>
    <w:rsid w:val="00D314D5"/>
    <w:rsid w:val="00D329EB"/>
    <w:rsid w:val="00D400C5"/>
    <w:rsid w:val="00D40D68"/>
    <w:rsid w:val="00D42F52"/>
    <w:rsid w:val="00D51C7B"/>
    <w:rsid w:val="00D522C7"/>
    <w:rsid w:val="00D5237E"/>
    <w:rsid w:val="00D53C79"/>
    <w:rsid w:val="00D60969"/>
    <w:rsid w:val="00D6414D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3041"/>
    <w:rsid w:val="00DA0CBF"/>
    <w:rsid w:val="00DA19DE"/>
    <w:rsid w:val="00DA4137"/>
    <w:rsid w:val="00DA5F1B"/>
    <w:rsid w:val="00DA6057"/>
    <w:rsid w:val="00DA6717"/>
    <w:rsid w:val="00DB408E"/>
    <w:rsid w:val="00DC1A41"/>
    <w:rsid w:val="00DC3D58"/>
    <w:rsid w:val="00DC4B16"/>
    <w:rsid w:val="00DC6B3D"/>
    <w:rsid w:val="00DC7208"/>
    <w:rsid w:val="00DD22B4"/>
    <w:rsid w:val="00DD76CC"/>
    <w:rsid w:val="00DF02C8"/>
    <w:rsid w:val="00DF170B"/>
    <w:rsid w:val="00DF1B47"/>
    <w:rsid w:val="00DF36D9"/>
    <w:rsid w:val="00DF6B24"/>
    <w:rsid w:val="00DF73C9"/>
    <w:rsid w:val="00DF79E8"/>
    <w:rsid w:val="00E02F0D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B45B6"/>
    <w:rsid w:val="00EC0061"/>
    <w:rsid w:val="00EC33ED"/>
    <w:rsid w:val="00EC3D1A"/>
    <w:rsid w:val="00EC75CA"/>
    <w:rsid w:val="00ED28FF"/>
    <w:rsid w:val="00ED3D33"/>
    <w:rsid w:val="00ED48A0"/>
    <w:rsid w:val="00ED5BAA"/>
    <w:rsid w:val="00EE08E6"/>
    <w:rsid w:val="00EE189F"/>
    <w:rsid w:val="00EE32F5"/>
    <w:rsid w:val="00EE3440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3166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761CB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05A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281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346C3-8517-4706-973A-D88586300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4566</Words>
  <Characters>26027</Characters>
  <Application>Microsoft Office Word</Application>
  <DocSecurity>0</DocSecurity>
  <Lines>216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2021-04-22T12:13:00Z</dcterms:created>
  <dcterms:modified xsi:type="dcterms:W3CDTF">2021-04-28T17:40:00Z</dcterms:modified>
</cp:coreProperties>
</file>